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  <w:bookmarkStart w:id="0" w:name="_GoBack"/>
      <w:bookmarkEnd w:id="0"/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F6C4BFD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283FC3" w:rsidRPr="00283FC3">
        <w:rPr>
          <w:rFonts w:ascii="Verdana" w:hAnsi="Verdana"/>
          <w:sz w:val="18"/>
          <w:szCs w:val="18"/>
        </w:rPr>
        <w:t>Oprava staničních kolejí v žst</w:t>
      </w:r>
      <w:r w:rsidR="00283FC3" w:rsidRPr="00283FC3">
        <w:rPr>
          <w:rFonts w:ascii="Verdana" w:hAnsi="Verdana"/>
          <w:sz w:val="18"/>
          <w:szCs w:val="18"/>
          <w:lang w:val="en-US"/>
        </w:rPr>
        <w:t>. Liberec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283FC3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283FC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283FC3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0FE3450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83FC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83FC3" w:rsidRPr="00283FC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45CFEA7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83FC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3FC3" w:rsidRPr="00283FC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83FC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C36EE9-3319-4424-BCAA-950E96E3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2020-06-02T09:45:00Z</dcterms:created>
  <dcterms:modified xsi:type="dcterms:W3CDTF">2023-01-19T12:50:00Z</dcterms:modified>
</cp:coreProperties>
</file>